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4407" w14:textId="77777777" w:rsidR="00EB4BD2" w:rsidRDefault="00ED0242" w:rsidP="00EB4BD2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AVISO DE CAPACIDAD DISPONIBLE RELATIVA AL PUNTO 2.4</w:t>
      </w:r>
      <w:r w:rsidR="000F2C3F" w:rsidRPr="000E1129">
        <w:rPr>
          <w:rFonts w:ascii="Arial" w:hAnsi="Arial" w:cs="Arial"/>
          <w:b/>
          <w:lang w:val="es-ES_tradnl"/>
        </w:rPr>
        <w:t xml:space="preserve"> DE </w:t>
      </w:r>
      <w:r w:rsidR="00EB4BD2">
        <w:rPr>
          <w:rFonts w:ascii="Arial" w:hAnsi="Arial" w:cs="Arial"/>
          <w:b/>
          <w:lang w:val="es-ES_tradnl"/>
        </w:rPr>
        <w:t>LA RESOLUCIÓN RES/899/2015 EN MATERIA DE ACCESO ABIERTO DE ALMACENAMIENTO DE PETROLÍFEROS DE LA COMISIÓN REGULADORA DE ENERGÍA.</w:t>
      </w:r>
    </w:p>
    <w:p w14:paraId="504379C4" w14:textId="6743A58F" w:rsidR="00E24B20" w:rsidRPr="000E1129" w:rsidRDefault="00E24B20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</w:p>
    <w:p w14:paraId="795ECC2B" w14:textId="6725507E" w:rsidR="00912A85" w:rsidRDefault="00ED0242" w:rsidP="00912A85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GENERADORES DE ENERGÍA DEL NOROESTE, S.A. DE C.V. </w:t>
      </w:r>
      <w:r w:rsidRPr="000E1129">
        <w:rPr>
          <w:rFonts w:ascii="Arial" w:hAnsi="Arial" w:cs="Arial"/>
          <w:lang w:val="es-ES_tradnl"/>
        </w:rPr>
        <w:t>es una Sociedad Anónima debidamente constituida en términos de la Ley General de Sociedades Mercantiles</w:t>
      </w:r>
      <w:r w:rsidR="00912A85">
        <w:rPr>
          <w:rFonts w:ascii="Arial" w:hAnsi="Arial" w:cs="Arial"/>
          <w:lang w:val="es-ES_tradnl"/>
        </w:rPr>
        <w:t xml:space="preserve">, </w:t>
      </w:r>
      <w:r w:rsidR="00C513DD">
        <w:rPr>
          <w:rFonts w:ascii="Arial" w:hAnsi="Arial" w:cs="Arial"/>
          <w:lang w:val="es-ES_tradnl"/>
        </w:rPr>
        <w:t>siendo q</w:t>
      </w:r>
      <w:r w:rsidR="00912A85" w:rsidRPr="000E1129">
        <w:rPr>
          <w:rFonts w:ascii="Arial" w:hAnsi="Arial" w:cs="Arial"/>
          <w:lang w:val="es-ES_tradnl"/>
        </w:rPr>
        <w:t xml:space="preserve">ue mediante la Resolución número RES/224/2011, de fecha 30 de junio de 2011, la </w:t>
      </w:r>
      <w:r w:rsidR="00912A85">
        <w:rPr>
          <w:rFonts w:ascii="Arial" w:hAnsi="Arial" w:cs="Arial"/>
          <w:lang w:val="es-ES_tradnl"/>
        </w:rPr>
        <w:t>COMISIÓN</w:t>
      </w:r>
      <w:r w:rsidR="00912A85" w:rsidRPr="000E1129">
        <w:rPr>
          <w:rFonts w:ascii="Arial" w:hAnsi="Arial" w:cs="Arial"/>
          <w:lang w:val="es-ES_tradnl"/>
        </w:rPr>
        <w:t xml:space="preserve"> REGULADORA DE ENERGÍA emitió a su favor el Título de Permiso número G/254/LPA/2011 al amparo del cual opera la Planta de Almacenamiento de Gas Licuado de Petróleo ubicada a 413.554 metros del kilómetro 33+280.348 del FF.CC. </w:t>
      </w:r>
      <w:proofErr w:type="spellStart"/>
      <w:r w:rsidR="00912A85" w:rsidRPr="000E1129">
        <w:rPr>
          <w:rFonts w:ascii="Arial" w:hAnsi="Arial" w:cs="Arial"/>
          <w:lang w:val="es-ES_tradnl"/>
        </w:rPr>
        <w:t>Intercalifornias</w:t>
      </w:r>
      <w:proofErr w:type="spellEnd"/>
      <w:r w:rsidR="00912A85" w:rsidRPr="000E1129">
        <w:rPr>
          <w:rFonts w:ascii="Arial" w:hAnsi="Arial" w:cs="Arial"/>
          <w:lang w:val="es-ES_tradnl"/>
        </w:rPr>
        <w:t xml:space="preserve"> – Valle Redondo, Delegación La Presa, Municipio de Tijuana, Estado de Baja California, México.</w:t>
      </w:r>
    </w:p>
    <w:p w14:paraId="7CFEB524" w14:textId="77777777" w:rsidR="00EB4602" w:rsidRDefault="00EB4602" w:rsidP="00EB4602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14:paraId="416A2074" w14:textId="417E8C30" w:rsidR="00912A85" w:rsidRDefault="00C513DD" w:rsidP="00032FC4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 w:rsidRPr="00C513DD">
        <w:rPr>
          <w:rFonts w:ascii="Arial" w:hAnsi="Arial" w:cs="Arial"/>
          <w:lang w:val="es-ES_tradnl"/>
        </w:rPr>
        <w:t>La Planta de Almacenamiento anterior</w:t>
      </w:r>
      <w:r w:rsidR="004A4235" w:rsidRPr="000E1129">
        <w:rPr>
          <w:rFonts w:ascii="Arial" w:hAnsi="Arial" w:cs="Arial"/>
          <w:lang w:val="es-ES_tradnl"/>
        </w:rPr>
        <w:t xml:space="preserve"> tiene una capacidad de 1,000,000 (un millón) de litros</w:t>
      </w:r>
      <w:r w:rsidR="009579B8" w:rsidRPr="000E1129">
        <w:rPr>
          <w:rFonts w:ascii="Arial" w:hAnsi="Arial" w:cs="Arial"/>
          <w:lang w:val="es-ES_tradnl"/>
        </w:rPr>
        <w:t xml:space="preserve">, siendo que </w:t>
      </w:r>
      <w:r w:rsidR="009579B8" w:rsidRPr="00912A85">
        <w:rPr>
          <w:rFonts w:ascii="Arial" w:hAnsi="Arial" w:cs="Arial"/>
          <w:b/>
          <w:u w:val="single"/>
          <w:lang w:val="es-ES_tradnl"/>
        </w:rPr>
        <w:t xml:space="preserve">la CAPACIDAD DISPONIBLE </w:t>
      </w:r>
      <w:r w:rsidR="00912A85" w:rsidRPr="00912A85">
        <w:rPr>
          <w:rFonts w:ascii="Arial" w:hAnsi="Arial" w:cs="Arial"/>
          <w:b/>
          <w:u w:val="single"/>
          <w:lang w:val="es-ES_tradnl"/>
        </w:rPr>
        <w:t xml:space="preserve">para terceros adquirentes interesados en recibir el servicio de Almacenamiento de GLP </w:t>
      </w:r>
      <w:r w:rsidR="00531A07">
        <w:rPr>
          <w:rFonts w:ascii="Arial" w:hAnsi="Arial" w:cs="Arial"/>
          <w:b/>
          <w:u w:val="single"/>
          <w:lang w:val="es-ES_tradnl"/>
        </w:rPr>
        <w:t xml:space="preserve">AL MES DE </w:t>
      </w:r>
      <w:r w:rsidR="009563EE">
        <w:rPr>
          <w:rFonts w:ascii="Arial" w:hAnsi="Arial" w:cs="Arial"/>
          <w:b/>
          <w:u w:val="single"/>
          <w:lang w:val="es-ES_tradnl"/>
        </w:rPr>
        <w:t>ENERO DE 2022</w:t>
      </w:r>
      <w:r w:rsidR="00A17F79">
        <w:rPr>
          <w:rFonts w:ascii="Arial" w:hAnsi="Arial" w:cs="Arial"/>
          <w:b/>
          <w:u w:val="single"/>
          <w:lang w:val="es-ES_tradnl"/>
        </w:rPr>
        <w:t xml:space="preserve"> </w:t>
      </w:r>
      <w:r w:rsidR="00912A85" w:rsidRPr="00912A85">
        <w:rPr>
          <w:rFonts w:ascii="Arial" w:hAnsi="Arial" w:cs="Arial"/>
          <w:b/>
          <w:u w:val="single"/>
          <w:lang w:val="es-ES_tradnl"/>
        </w:rPr>
        <w:t xml:space="preserve">es de </w:t>
      </w:r>
      <w:r w:rsidRPr="00250B74">
        <w:rPr>
          <w:rFonts w:ascii="Arial" w:hAnsi="Arial" w:cs="Arial"/>
          <w:b/>
          <w:u w:val="single"/>
          <w:lang w:val="es-ES_tradnl"/>
        </w:rPr>
        <w:t>8</w:t>
      </w:r>
      <w:r w:rsidR="00912A85" w:rsidRPr="00250B74">
        <w:rPr>
          <w:rFonts w:ascii="Arial" w:hAnsi="Arial" w:cs="Arial"/>
          <w:b/>
          <w:u w:val="single"/>
          <w:lang w:val="es-ES_tradnl"/>
        </w:rPr>
        <w:t>0,000 litros</w:t>
      </w:r>
      <w:r w:rsidR="00912A85" w:rsidRPr="00250B74">
        <w:rPr>
          <w:rFonts w:ascii="Arial" w:hAnsi="Arial" w:cs="Arial"/>
          <w:lang w:val="es-ES_tradnl"/>
        </w:rPr>
        <w:t>, habida</w:t>
      </w:r>
      <w:r w:rsidR="00912A85">
        <w:rPr>
          <w:rFonts w:ascii="Arial" w:hAnsi="Arial" w:cs="Arial"/>
          <w:lang w:val="es-ES_tradnl"/>
        </w:rPr>
        <w:t xml:space="preserve"> cuenta que:</w:t>
      </w:r>
    </w:p>
    <w:p w14:paraId="5614B3BC" w14:textId="77777777" w:rsidR="00912A85" w:rsidRDefault="00912A85" w:rsidP="00912A85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734017A0" w14:textId="65578E51" w:rsidR="00912A85" w:rsidRDefault="00912A85" w:rsidP="00912A85">
      <w:pPr>
        <w:pStyle w:val="Prrafodelista"/>
        <w:numPr>
          <w:ilvl w:val="0"/>
          <w:numId w:val="16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Por seguridad las instalaciones se ocupan a un máximo del 80% de su capacidad.</w:t>
      </w:r>
    </w:p>
    <w:p w14:paraId="4FABF7F1" w14:textId="2C39F8A7" w:rsidR="00D76614" w:rsidRDefault="00912A85" w:rsidP="00076AA5">
      <w:pPr>
        <w:pStyle w:val="Prrafodelista"/>
        <w:numPr>
          <w:ilvl w:val="0"/>
          <w:numId w:val="16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GENERADORES DE ENERGÍA DEL NOROES</w:t>
      </w:r>
      <w:r w:rsidR="00C513DD">
        <w:rPr>
          <w:rFonts w:ascii="Arial" w:hAnsi="Arial" w:cs="Arial"/>
          <w:lang w:val="es-ES_tradnl"/>
        </w:rPr>
        <w:t>TE</w:t>
      </w:r>
      <w:r>
        <w:rPr>
          <w:rFonts w:ascii="Arial" w:hAnsi="Arial" w:cs="Arial"/>
          <w:lang w:val="es-ES_tradnl"/>
        </w:rPr>
        <w:t xml:space="preserve">, S.A. DE C.V. ocupa para sus propios fines el volumen </w:t>
      </w:r>
      <w:r w:rsidRPr="00250B74">
        <w:rPr>
          <w:rFonts w:ascii="Arial" w:hAnsi="Arial" w:cs="Arial"/>
          <w:lang w:val="es-ES_tradnl"/>
        </w:rPr>
        <w:t>correspondiente a 7</w:t>
      </w:r>
      <w:r w:rsidR="00C513DD" w:rsidRPr="00250B74">
        <w:rPr>
          <w:rFonts w:ascii="Arial" w:hAnsi="Arial" w:cs="Arial"/>
          <w:lang w:val="es-ES_tradnl"/>
        </w:rPr>
        <w:t>2</w:t>
      </w:r>
      <w:r w:rsidRPr="00250B74">
        <w:rPr>
          <w:rFonts w:ascii="Arial" w:hAnsi="Arial" w:cs="Arial"/>
          <w:lang w:val="es-ES_tradnl"/>
        </w:rPr>
        <w:t>0,000 litros.</w:t>
      </w:r>
    </w:p>
    <w:p w14:paraId="4040475E" w14:textId="77777777" w:rsidR="00EB4602" w:rsidRPr="00076AA5" w:rsidRDefault="00EB4602" w:rsidP="00EB4602">
      <w:pPr>
        <w:pStyle w:val="Prrafodelista"/>
        <w:spacing w:after="0" w:line="300" w:lineRule="auto"/>
        <w:ind w:left="1080"/>
        <w:jc w:val="both"/>
        <w:rPr>
          <w:rFonts w:ascii="Arial" w:hAnsi="Arial" w:cs="Arial"/>
          <w:lang w:val="es-ES_tradnl"/>
        </w:rPr>
      </w:pPr>
    </w:p>
    <w:p w14:paraId="08A79101" w14:textId="4774740F" w:rsidR="00696348" w:rsidRPr="00EB4602" w:rsidRDefault="00D76614" w:rsidP="00076AA5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 w:rsidRPr="00EB4602">
        <w:rPr>
          <w:rFonts w:ascii="Arial" w:hAnsi="Arial" w:cs="Arial"/>
          <w:lang w:val="es-ES_tradnl"/>
        </w:rPr>
        <w:t>L</w:t>
      </w:r>
      <w:r w:rsidRPr="00EB4602">
        <w:rPr>
          <w:rFonts w:ascii="Arial" w:hAnsi="Arial" w:cs="Arial"/>
        </w:rPr>
        <w:t xml:space="preserve">a planta de almacenamiento tiene una capacidad de </w:t>
      </w:r>
      <w:r w:rsidR="00696348" w:rsidRPr="00EB4602">
        <w:rPr>
          <w:rFonts w:ascii="Arial" w:hAnsi="Arial" w:cs="Arial"/>
        </w:rPr>
        <w:t>desalojo de</w:t>
      </w:r>
      <w:r w:rsidR="00A67AE2" w:rsidRPr="00EB4602">
        <w:rPr>
          <w:rFonts w:ascii="Arial" w:hAnsi="Arial" w:cs="Arial"/>
        </w:rPr>
        <w:t>l sistema de</w:t>
      </w:r>
      <w:r w:rsidR="00696348" w:rsidRPr="00EB4602">
        <w:rPr>
          <w:rFonts w:ascii="Arial" w:hAnsi="Arial" w:cs="Arial"/>
        </w:rPr>
        <w:t xml:space="preserve"> </w:t>
      </w:r>
      <w:r w:rsidR="00A67AE2" w:rsidRPr="00EB4602">
        <w:rPr>
          <w:rFonts w:ascii="Arial" w:hAnsi="Arial" w:cs="Arial"/>
        </w:rPr>
        <w:t xml:space="preserve">378.5 litros por minuto por cada toma de llenado </w:t>
      </w:r>
      <w:r w:rsidRPr="00EB4602">
        <w:rPr>
          <w:rFonts w:ascii="Arial" w:hAnsi="Arial" w:cs="Arial"/>
        </w:rPr>
        <w:t>mediante el flujo máximo en unidad d</w:t>
      </w:r>
      <w:r w:rsidR="00696348" w:rsidRPr="00EB4602">
        <w:rPr>
          <w:rFonts w:ascii="Arial" w:hAnsi="Arial" w:cs="Arial"/>
        </w:rPr>
        <w:t xml:space="preserve">e volumen por unidad de tiempo, se anexo tabla de </w:t>
      </w:r>
      <w:r w:rsidR="00076AA5" w:rsidRPr="00EB4602">
        <w:rPr>
          <w:rFonts w:ascii="Arial" w:hAnsi="Arial" w:cs="Arial"/>
        </w:rPr>
        <w:t>datos de compresores de descarga.</w:t>
      </w:r>
    </w:p>
    <w:p w14:paraId="7CD73747" w14:textId="112E0BC3" w:rsidR="00912A85" w:rsidRPr="00076AA5" w:rsidRDefault="00912A85" w:rsidP="00076AA5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04029A90" w14:textId="7A87D211" w:rsidR="00076AA5" w:rsidRPr="00076AA5" w:rsidRDefault="00C513DD" w:rsidP="000F2C3F">
      <w:pPr>
        <w:spacing w:after="0" w:line="300" w:lineRule="auto"/>
        <w:jc w:val="both"/>
        <w:rPr>
          <w:rFonts w:ascii="Arial" w:hAnsi="Arial" w:cs="Arial"/>
          <w:sz w:val="20"/>
          <w:lang w:val="es-ES_tradnl"/>
        </w:rPr>
      </w:pPr>
      <w:r w:rsidRPr="00076AA5">
        <w:rPr>
          <w:rFonts w:ascii="Arial" w:hAnsi="Arial" w:cs="Arial"/>
          <w:sz w:val="20"/>
          <w:lang w:val="es-ES_tradnl"/>
        </w:rPr>
        <w:t>Se hace de su conocimiento lo anterior en términos del punto 2.4 de la Resolución RES/899/2015 “RESOLUCIÓN por la que la Comisión Reguladora de Energía expide las disposiciones administrativas de carácter general en materia de acceso abierto y prestación de los servicios de transporte por ducto y almacenamiento de petrolíferos y petroquímicos” publicada en el Diario Oficial de la Federación el 12 de enero de 2016.</w:t>
      </w:r>
    </w:p>
    <w:p w14:paraId="4792D268" w14:textId="77777777" w:rsidR="00076AA5" w:rsidRPr="00076AA5" w:rsidRDefault="00076AA5" w:rsidP="000F2C3F">
      <w:pPr>
        <w:spacing w:after="0" w:line="300" w:lineRule="auto"/>
        <w:jc w:val="both"/>
        <w:rPr>
          <w:rFonts w:ascii="Arial" w:hAnsi="Arial" w:cs="Arial"/>
          <w:sz w:val="20"/>
          <w:lang w:val="es-ES_tradnl"/>
        </w:rPr>
      </w:pPr>
    </w:p>
    <w:p w14:paraId="372DF4D6" w14:textId="2193C95F" w:rsidR="00A17F79" w:rsidRPr="00076AA5" w:rsidRDefault="009563EE" w:rsidP="000F2C3F">
      <w:pPr>
        <w:spacing w:after="0" w:line="300" w:lineRule="auto"/>
        <w:jc w:val="both"/>
        <w:rPr>
          <w:rFonts w:ascii="Arial" w:hAnsi="Arial" w:cs="Arial"/>
          <w:sz w:val="20"/>
          <w:lang w:val="es-ES_tradnl"/>
        </w:rPr>
      </w:pPr>
      <w:r w:rsidRPr="00076AA5">
        <w:rPr>
          <w:rFonts w:ascii="Arial" w:hAnsi="Arial" w:cs="Arial"/>
          <w:sz w:val="20"/>
          <w:lang w:val="es-ES_tradnl"/>
        </w:rPr>
        <w:t>Tijuana, Baja California a 27 de enero de 2022</w:t>
      </w:r>
      <w:r w:rsidR="00A17F79" w:rsidRPr="00076AA5">
        <w:rPr>
          <w:rFonts w:ascii="Arial" w:hAnsi="Arial" w:cs="Arial"/>
          <w:sz w:val="20"/>
          <w:lang w:val="es-ES_tradnl"/>
        </w:rPr>
        <w:t>.</w:t>
      </w:r>
    </w:p>
    <w:p w14:paraId="5B55BA37" w14:textId="72F1A623" w:rsidR="00912A85" w:rsidRPr="00076AA5" w:rsidRDefault="00912A85" w:rsidP="00912A85">
      <w:pPr>
        <w:spacing w:after="0" w:line="300" w:lineRule="auto"/>
        <w:jc w:val="right"/>
        <w:rPr>
          <w:rFonts w:ascii="Arial" w:hAnsi="Arial" w:cs="Arial"/>
          <w:sz w:val="20"/>
          <w:lang w:val="es-ES_tradnl"/>
        </w:rPr>
      </w:pPr>
      <w:r w:rsidRPr="00076AA5">
        <w:rPr>
          <w:rFonts w:ascii="Arial" w:hAnsi="Arial" w:cs="Arial"/>
          <w:sz w:val="20"/>
          <w:lang w:val="es-ES_tradnl"/>
        </w:rPr>
        <w:t>GENERADORES DE ENERGÍA DEL NOROESTE, S.A. DE C.V.</w:t>
      </w:r>
    </w:p>
    <w:p w14:paraId="50CACE93" w14:textId="77777777" w:rsidR="00C633D0" w:rsidRPr="00076AA5" w:rsidRDefault="00C633D0" w:rsidP="00912A85">
      <w:pPr>
        <w:spacing w:after="0" w:line="300" w:lineRule="auto"/>
        <w:jc w:val="right"/>
        <w:rPr>
          <w:rFonts w:ascii="Arial" w:hAnsi="Arial" w:cs="Arial"/>
          <w:sz w:val="20"/>
          <w:lang w:val="es-ES_tradnl"/>
        </w:rPr>
      </w:pPr>
    </w:p>
    <w:p w14:paraId="584F6F42" w14:textId="77777777" w:rsidR="00C633D0" w:rsidRPr="00076AA5" w:rsidRDefault="00C633D0" w:rsidP="00912A85">
      <w:pPr>
        <w:spacing w:after="0" w:line="300" w:lineRule="auto"/>
        <w:jc w:val="right"/>
        <w:rPr>
          <w:rFonts w:ascii="Arial" w:hAnsi="Arial" w:cs="Arial"/>
          <w:sz w:val="20"/>
          <w:lang w:val="es-ES_tradnl"/>
        </w:rPr>
      </w:pPr>
      <w:r w:rsidRPr="00076AA5">
        <w:rPr>
          <w:rFonts w:ascii="Arial" w:hAnsi="Arial" w:cs="Arial"/>
          <w:sz w:val="20"/>
        </w:rPr>
        <w:t>JOSÉ TZIRANCÁMARO FIGUEROA AEYÓN</w:t>
      </w:r>
      <w:r w:rsidRPr="00076AA5">
        <w:rPr>
          <w:rFonts w:ascii="Arial" w:hAnsi="Arial" w:cs="Arial"/>
          <w:sz w:val="20"/>
          <w:lang w:val="es-ES_tradnl"/>
        </w:rPr>
        <w:t xml:space="preserve"> </w:t>
      </w:r>
    </w:p>
    <w:p w14:paraId="60287A29" w14:textId="7A6C2531" w:rsidR="00912A85" w:rsidRPr="00076AA5" w:rsidRDefault="00912A85" w:rsidP="00912A85">
      <w:pPr>
        <w:spacing w:after="0" w:line="300" w:lineRule="auto"/>
        <w:jc w:val="right"/>
        <w:rPr>
          <w:rFonts w:ascii="Arial" w:hAnsi="Arial" w:cs="Arial"/>
          <w:sz w:val="20"/>
          <w:lang w:val="es-ES_tradnl"/>
        </w:rPr>
      </w:pPr>
      <w:r w:rsidRPr="00076AA5">
        <w:rPr>
          <w:rFonts w:ascii="Arial" w:hAnsi="Arial" w:cs="Arial"/>
          <w:sz w:val="20"/>
          <w:lang w:val="es-ES_tradnl"/>
        </w:rPr>
        <w:t>REPRESENTANTE LEGAL.</w:t>
      </w:r>
    </w:p>
    <w:sectPr w:rsidR="00912A85" w:rsidRPr="00076AA5" w:rsidSect="0082673B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5618B" w14:textId="77777777" w:rsidR="004D19BF" w:rsidRDefault="004D19BF" w:rsidP="0034685F">
      <w:pPr>
        <w:spacing w:after="0" w:line="240" w:lineRule="auto"/>
      </w:pPr>
      <w:r>
        <w:separator/>
      </w:r>
    </w:p>
  </w:endnote>
  <w:endnote w:type="continuationSeparator" w:id="0">
    <w:p w14:paraId="51DFF4B5" w14:textId="77777777" w:rsidR="004D19BF" w:rsidRDefault="004D19BF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2E73B" w14:textId="77777777" w:rsidR="004D19BF" w:rsidRDefault="004D19BF" w:rsidP="0034685F">
      <w:pPr>
        <w:spacing w:after="0" w:line="240" w:lineRule="auto"/>
      </w:pPr>
      <w:r>
        <w:separator/>
      </w:r>
    </w:p>
  </w:footnote>
  <w:footnote w:type="continuationSeparator" w:id="0">
    <w:p w14:paraId="1272F706" w14:textId="77777777" w:rsidR="004D19BF" w:rsidRDefault="004D19BF" w:rsidP="0034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D8F3" w14:textId="13086A16" w:rsidR="00AD5FD8" w:rsidRDefault="00AD5FD8" w:rsidP="00272B0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F1"/>
    <w:multiLevelType w:val="multilevel"/>
    <w:tmpl w:val="8FD0B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50EFC"/>
    <w:multiLevelType w:val="hybridMultilevel"/>
    <w:tmpl w:val="1082C28C"/>
    <w:lvl w:ilvl="0" w:tplc="040A0013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2C1"/>
    <w:multiLevelType w:val="hybridMultilevel"/>
    <w:tmpl w:val="8C8EA2EC"/>
    <w:lvl w:ilvl="0" w:tplc="6BE6E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3454E"/>
    <w:multiLevelType w:val="hybridMultilevel"/>
    <w:tmpl w:val="35406652"/>
    <w:lvl w:ilvl="0" w:tplc="C62C39DC">
      <w:start w:val="1"/>
      <w:numFmt w:val="upperLetter"/>
      <w:pStyle w:val="InisoA"/>
      <w:lvlText w:val="%1 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D7E"/>
    <w:multiLevelType w:val="hybridMultilevel"/>
    <w:tmpl w:val="02AE4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019EC"/>
    <w:multiLevelType w:val="hybridMultilevel"/>
    <w:tmpl w:val="2DE4DA2A"/>
    <w:lvl w:ilvl="0" w:tplc="183C2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5519"/>
    <w:multiLevelType w:val="hybridMultilevel"/>
    <w:tmpl w:val="DCDA3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C4"/>
    <w:multiLevelType w:val="hybridMultilevel"/>
    <w:tmpl w:val="8A346D7E"/>
    <w:lvl w:ilvl="0" w:tplc="478A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08EC"/>
    <w:multiLevelType w:val="hybridMultilevel"/>
    <w:tmpl w:val="B6823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3691"/>
    <w:multiLevelType w:val="multilevel"/>
    <w:tmpl w:val="E7741194"/>
    <w:lvl w:ilvl="0">
      <w:start w:val="1"/>
      <w:numFmt w:val="decimal"/>
      <w:pStyle w:val="NC1"/>
      <w:lvlText w:val="%1.   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58895824"/>
    <w:multiLevelType w:val="hybridMultilevel"/>
    <w:tmpl w:val="468A9EC0"/>
    <w:lvl w:ilvl="0" w:tplc="2626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DD5"/>
    <w:multiLevelType w:val="hybridMultilevel"/>
    <w:tmpl w:val="D8C0E43C"/>
    <w:lvl w:ilvl="0" w:tplc="7AE4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FD6"/>
    <w:multiLevelType w:val="hybridMultilevel"/>
    <w:tmpl w:val="3AF66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35A9"/>
    <w:multiLevelType w:val="hybridMultilevel"/>
    <w:tmpl w:val="000C4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57C8"/>
    <w:multiLevelType w:val="hybridMultilevel"/>
    <w:tmpl w:val="2064F79A"/>
    <w:lvl w:ilvl="0" w:tplc="0BCA94D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0"/>
    <w:rsid w:val="0000104F"/>
    <w:rsid w:val="00002D40"/>
    <w:rsid w:val="00032FC4"/>
    <w:rsid w:val="00036058"/>
    <w:rsid w:val="00045DFC"/>
    <w:rsid w:val="00076AA5"/>
    <w:rsid w:val="00092018"/>
    <w:rsid w:val="00097506"/>
    <w:rsid w:val="000A00FF"/>
    <w:rsid w:val="000C0B4B"/>
    <w:rsid w:val="000E1129"/>
    <w:rsid w:val="000F2C3F"/>
    <w:rsid w:val="000F499C"/>
    <w:rsid w:val="001042E7"/>
    <w:rsid w:val="00116A66"/>
    <w:rsid w:val="001B4C26"/>
    <w:rsid w:val="001C2422"/>
    <w:rsid w:val="001D76B7"/>
    <w:rsid w:val="00211899"/>
    <w:rsid w:val="00217A1B"/>
    <w:rsid w:val="00250B74"/>
    <w:rsid w:val="00272B08"/>
    <w:rsid w:val="00286492"/>
    <w:rsid w:val="002873E4"/>
    <w:rsid w:val="002D228F"/>
    <w:rsid w:val="002F644B"/>
    <w:rsid w:val="00342A85"/>
    <w:rsid w:val="00344951"/>
    <w:rsid w:val="00345888"/>
    <w:rsid w:val="0034685F"/>
    <w:rsid w:val="003E3AA6"/>
    <w:rsid w:val="004057E0"/>
    <w:rsid w:val="004175BC"/>
    <w:rsid w:val="004A2CB4"/>
    <w:rsid w:val="004A3386"/>
    <w:rsid w:val="004A4235"/>
    <w:rsid w:val="004C49E3"/>
    <w:rsid w:val="004D19BF"/>
    <w:rsid w:val="004F26EE"/>
    <w:rsid w:val="00501E97"/>
    <w:rsid w:val="0050240A"/>
    <w:rsid w:val="00503704"/>
    <w:rsid w:val="00520CAC"/>
    <w:rsid w:val="00531A07"/>
    <w:rsid w:val="005516AC"/>
    <w:rsid w:val="00560538"/>
    <w:rsid w:val="005C0169"/>
    <w:rsid w:val="005D37C8"/>
    <w:rsid w:val="00640D1E"/>
    <w:rsid w:val="00643FDE"/>
    <w:rsid w:val="006517F0"/>
    <w:rsid w:val="00666BF3"/>
    <w:rsid w:val="00696348"/>
    <w:rsid w:val="006A41DD"/>
    <w:rsid w:val="006C7C10"/>
    <w:rsid w:val="006D4B92"/>
    <w:rsid w:val="006F3538"/>
    <w:rsid w:val="00700526"/>
    <w:rsid w:val="00717914"/>
    <w:rsid w:val="00736637"/>
    <w:rsid w:val="00776D12"/>
    <w:rsid w:val="00821867"/>
    <w:rsid w:val="0082673B"/>
    <w:rsid w:val="00887BF2"/>
    <w:rsid w:val="008A6CB6"/>
    <w:rsid w:val="008E2712"/>
    <w:rsid w:val="00912A85"/>
    <w:rsid w:val="009563EE"/>
    <w:rsid w:val="009579B8"/>
    <w:rsid w:val="009874FB"/>
    <w:rsid w:val="009A41DF"/>
    <w:rsid w:val="009B6E50"/>
    <w:rsid w:val="009C24C8"/>
    <w:rsid w:val="009C27FF"/>
    <w:rsid w:val="00A17F79"/>
    <w:rsid w:val="00A41A94"/>
    <w:rsid w:val="00A67664"/>
    <w:rsid w:val="00A67AE2"/>
    <w:rsid w:val="00AD5FD8"/>
    <w:rsid w:val="00B41C41"/>
    <w:rsid w:val="00BA1FCB"/>
    <w:rsid w:val="00BC2636"/>
    <w:rsid w:val="00BF1479"/>
    <w:rsid w:val="00C15C3E"/>
    <w:rsid w:val="00C513DD"/>
    <w:rsid w:val="00C633D0"/>
    <w:rsid w:val="00C94E77"/>
    <w:rsid w:val="00CB5F29"/>
    <w:rsid w:val="00CD3A95"/>
    <w:rsid w:val="00CE6947"/>
    <w:rsid w:val="00D1106E"/>
    <w:rsid w:val="00D560ED"/>
    <w:rsid w:val="00D57F5E"/>
    <w:rsid w:val="00D70F6A"/>
    <w:rsid w:val="00D749F2"/>
    <w:rsid w:val="00D76614"/>
    <w:rsid w:val="00D83809"/>
    <w:rsid w:val="00DB24AD"/>
    <w:rsid w:val="00DD6973"/>
    <w:rsid w:val="00E24B20"/>
    <w:rsid w:val="00E37DC7"/>
    <w:rsid w:val="00E46900"/>
    <w:rsid w:val="00E51DFC"/>
    <w:rsid w:val="00E961AA"/>
    <w:rsid w:val="00EA217C"/>
    <w:rsid w:val="00EB4602"/>
    <w:rsid w:val="00EB4BD2"/>
    <w:rsid w:val="00EC7ABA"/>
    <w:rsid w:val="00ED0242"/>
    <w:rsid w:val="00EE4A35"/>
    <w:rsid w:val="00EE4F30"/>
    <w:rsid w:val="00FA2611"/>
    <w:rsid w:val="00FA60E1"/>
    <w:rsid w:val="00FB3102"/>
    <w:rsid w:val="00FB4721"/>
    <w:rsid w:val="00FE48A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FE7310"/>
    <w:pPr>
      <w:keepLines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6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85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85F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D8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soA">
    <w:name w:val="Iniso A)"/>
    <w:basedOn w:val="Normal"/>
    <w:link w:val="InisoACar"/>
    <w:qFormat/>
    <w:rsid w:val="004A2CB4"/>
    <w:pPr>
      <w:keepLines/>
      <w:numPr>
        <w:numId w:val="8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InisoACar">
    <w:name w:val="Iniso A) Car"/>
    <w:basedOn w:val="Fuentedeprrafopredeter"/>
    <w:link w:val="InisoA"/>
    <w:rsid w:val="004A2CB4"/>
    <w:rPr>
      <w:rFonts w:ascii="Arial" w:eastAsia="Times New Roman" w:hAnsi="Arial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7310"/>
    <w:rPr>
      <w:rFonts w:ascii="Arial" w:eastAsia="Times New Roman" w:hAnsi="Arial" w:cs="Arial"/>
      <w:color w:val="000000"/>
      <w:lang w:val="es-ES" w:eastAsia="es-ES"/>
    </w:rPr>
  </w:style>
  <w:style w:type="paragraph" w:customStyle="1" w:styleId="NC1">
    <w:name w:val="NC1"/>
    <w:basedOn w:val="Normal"/>
    <w:link w:val="NC1Car"/>
    <w:qFormat/>
    <w:rsid w:val="008A6CB6"/>
    <w:pPr>
      <w:keepLines/>
      <w:numPr>
        <w:numId w:val="11"/>
      </w:numPr>
      <w:spacing w:before="360" w:after="24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character" w:customStyle="1" w:styleId="NC1Car">
    <w:name w:val="NC1 Car"/>
    <w:basedOn w:val="Fuentedeprrafopredeter"/>
    <w:link w:val="NC1"/>
    <w:rsid w:val="008A6CB6"/>
    <w:rPr>
      <w:rFonts w:ascii="Arial" w:eastAsia="Times New Roman" w:hAnsi="Arial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E875-8766-4E61-B390-86B7223E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Lex</dc:creator>
  <cp:keywords/>
  <dc:description/>
  <cp:lastModifiedBy>Angel Carrillo</cp:lastModifiedBy>
  <cp:revision>3</cp:revision>
  <cp:lastPrinted>2022-03-14T21:14:00Z</cp:lastPrinted>
  <dcterms:created xsi:type="dcterms:W3CDTF">2022-03-15T20:12:00Z</dcterms:created>
  <dcterms:modified xsi:type="dcterms:W3CDTF">2022-03-16T20:10:00Z</dcterms:modified>
</cp:coreProperties>
</file>